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B562" w14:textId="77777777" w:rsidR="006622B4" w:rsidRPr="001D40C4" w:rsidRDefault="006622B4" w:rsidP="00AC582F">
      <w:pPr>
        <w:spacing w:line="240" w:lineRule="auto"/>
        <w:ind w:right="-540" w:hanging="45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D3C041" w14:textId="7427E010" w:rsidR="00BA7309" w:rsidRPr="001D40C4" w:rsidRDefault="00BA7309" w:rsidP="00AC582F">
      <w:pPr>
        <w:spacing w:line="240" w:lineRule="auto"/>
        <w:ind w:right="-540" w:hanging="45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Jason C. Holly. Sr.</w:t>
      </w:r>
    </w:p>
    <w:p w14:paraId="206AF7F4" w14:textId="47C65B14" w:rsidR="00BA7309" w:rsidRPr="001D40C4" w:rsidRDefault="00BA7309" w:rsidP="00AC582F">
      <w:pPr>
        <w:spacing w:line="240" w:lineRule="auto"/>
        <w:ind w:right="-540" w:hanging="45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jasoncholly@gmail.com   817-219-7376</w:t>
      </w:r>
    </w:p>
    <w:p w14:paraId="0E80C9B7" w14:textId="0898845B" w:rsidR="00BA7309" w:rsidRPr="001D40C4" w:rsidRDefault="00BA7309" w:rsidP="00AC582F">
      <w:pPr>
        <w:spacing w:line="240" w:lineRule="auto"/>
        <w:ind w:right="-540" w:hanging="450"/>
        <w:contextualSpacing/>
        <w:jc w:val="center"/>
        <w:rPr>
          <w:rFonts w:ascii="Calibri" w:hAnsi="Calibri" w:cs="Calibri"/>
          <w:sz w:val="22"/>
          <w:szCs w:val="22"/>
        </w:rPr>
      </w:pPr>
      <w:hyperlink r:id="rId5" w:history="1"/>
      <w:r w:rsidRPr="001D40C4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6" w:history="1">
        <w:r w:rsidRPr="001D40C4">
          <w:rPr>
            <w:rStyle w:val="Hyperlink"/>
            <w:rFonts w:ascii="Calibri" w:hAnsi="Calibri" w:cs="Calibri"/>
            <w:b/>
            <w:bCs/>
            <w:sz w:val="22"/>
            <w:szCs w:val="22"/>
          </w:rPr>
          <w:t>linkedin.com/in/jason-holly-8863718</w:t>
        </w:r>
      </w:hyperlink>
    </w:p>
    <w:p w14:paraId="6AC55F70" w14:textId="0B69B928" w:rsidR="005D17A7" w:rsidRPr="001D40C4" w:rsidRDefault="005D17A7" w:rsidP="00AC582F">
      <w:pPr>
        <w:spacing w:line="240" w:lineRule="auto"/>
        <w:ind w:right="-540" w:hanging="45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Spouse to Disabled Veteran</w:t>
      </w:r>
    </w:p>
    <w:p w14:paraId="6FAAE821" w14:textId="77777777" w:rsidR="00BA7309" w:rsidRPr="001D40C4" w:rsidRDefault="00BA7309" w:rsidP="00AC582F">
      <w:pPr>
        <w:spacing w:line="240" w:lineRule="auto"/>
        <w:ind w:right="-540" w:hanging="45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D2AF1B" w14:textId="77777777" w:rsidR="0068279D" w:rsidRPr="001D40C4" w:rsidRDefault="00BA7309" w:rsidP="0068279D">
      <w:pPr>
        <w:spacing w:line="240" w:lineRule="auto"/>
        <w:ind w:right="-540" w:hanging="450"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Summar</w:t>
      </w:r>
      <w:r w:rsidR="009B49E2" w:rsidRPr="001D40C4">
        <w:rPr>
          <w:rFonts w:ascii="Calibri" w:hAnsi="Calibri" w:cs="Calibri"/>
          <w:b/>
          <w:bCs/>
          <w:sz w:val="22"/>
          <w:szCs w:val="22"/>
        </w:rPr>
        <w:t>y</w:t>
      </w:r>
    </w:p>
    <w:p w14:paraId="290F333A" w14:textId="6ECA0B70" w:rsidR="009B49E2" w:rsidRPr="001D40C4" w:rsidRDefault="006B5CB6" w:rsidP="008668E0">
      <w:pPr>
        <w:spacing w:line="240" w:lineRule="auto"/>
        <w:ind w:right="-540"/>
        <w:jc w:val="both"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 xml:space="preserve">Results-driven finance and analytics professional with 10+ years of experience in revenue management, profitability analysis, and strategic planning. Proven ability to translate complex data into actionable insights, drive business growth, and optimize resource allocation. </w:t>
      </w:r>
      <w:proofErr w:type="gramStart"/>
      <w:r w:rsidR="00C65064" w:rsidRPr="001D40C4">
        <w:rPr>
          <w:rFonts w:ascii="Calibri" w:hAnsi="Calibri" w:cs="Calibri"/>
          <w:sz w:val="22"/>
          <w:szCs w:val="22"/>
        </w:rPr>
        <w:t>Knowledgeable</w:t>
      </w:r>
      <w:proofErr w:type="gramEnd"/>
      <w:r w:rsidRPr="001D40C4">
        <w:rPr>
          <w:rFonts w:ascii="Calibri" w:hAnsi="Calibri" w:cs="Calibri"/>
          <w:sz w:val="22"/>
          <w:szCs w:val="22"/>
        </w:rPr>
        <w:t xml:space="preserve"> in financial modeling, budgeting, dashboard creation, and sales incentive program management.</w:t>
      </w:r>
    </w:p>
    <w:p w14:paraId="7C2230DE" w14:textId="44AD3AED" w:rsidR="006B5CB6" w:rsidRPr="001D40C4" w:rsidRDefault="006B5CB6" w:rsidP="006B5CB6">
      <w:pPr>
        <w:spacing w:line="240" w:lineRule="auto"/>
        <w:ind w:left="-270" w:right="-540"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Skills</w:t>
      </w:r>
    </w:p>
    <w:p w14:paraId="6800A67D" w14:textId="5C21F678" w:rsidR="006B5CB6" w:rsidRPr="001D40C4" w:rsidRDefault="006B5CB6" w:rsidP="006B5CB6">
      <w:pPr>
        <w:spacing w:line="240" w:lineRule="auto"/>
        <w:ind w:right="-540"/>
        <w:rPr>
          <w:rFonts w:ascii="Calibri" w:hAnsi="Calibri" w:cs="Calibri"/>
          <w:sz w:val="22"/>
          <w:szCs w:val="22"/>
        </w:rPr>
        <w:sectPr w:rsidR="006B5CB6" w:rsidRPr="001D40C4" w:rsidSect="006622B4">
          <w:pgSz w:w="12240" w:h="15840"/>
          <w:pgMar w:top="1350" w:right="1440" w:bottom="1440" w:left="1440" w:header="720" w:footer="720" w:gutter="0"/>
          <w:cols w:space="720"/>
          <w:docGrid w:linePitch="360"/>
        </w:sectPr>
      </w:pPr>
    </w:p>
    <w:p w14:paraId="2790C197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Financial Planning &amp; Analysis (FP&amp;A)</w:t>
      </w:r>
    </w:p>
    <w:p w14:paraId="775F8748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Financial Modeling</w:t>
      </w:r>
    </w:p>
    <w:p w14:paraId="26D5D5A9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Budgeting &amp; Forecasting</w:t>
      </w:r>
    </w:p>
    <w:p w14:paraId="74727BA6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Strategic Planning</w:t>
      </w:r>
    </w:p>
    <w:p w14:paraId="66FE858A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Sales Incentive Design &amp; Administration</w:t>
      </w:r>
    </w:p>
    <w:p w14:paraId="4D55F140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Pricing Strategy</w:t>
      </w:r>
    </w:p>
    <w:p w14:paraId="7514F039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Data Analysis &amp; Reporting</w:t>
      </w:r>
    </w:p>
    <w:p w14:paraId="3F50C1F4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Business Intelligence (BI)</w:t>
      </w:r>
    </w:p>
    <w:p w14:paraId="182D823D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Dashboard Development</w:t>
      </w:r>
    </w:p>
    <w:p w14:paraId="24EA1469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SAP</w:t>
      </w:r>
    </w:p>
    <w:p w14:paraId="4808E69F" w14:textId="25D6FD4B" w:rsidR="00B719D7" w:rsidRPr="001D40C4" w:rsidRDefault="00B719D7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CPG experience (While with L'Oreal and Williamson Dickes)</w:t>
      </w:r>
    </w:p>
    <w:p w14:paraId="431DC71A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Tableau</w:t>
      </w:r>
    </w:p>
    <w:p w14:paraId="686C0ACF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Microsoft Office Suite (Excel, PowerPoint, Word)</w:t>
      </w:r>
    </w:p>
    <w:p w14:paraId="13E7834A" w14:textId="77777777" w:rsidR="006B5CB6" w:rsidRPr="001D40C4" w:rsidRDefault="006B5CB6" w:rsidP="006B5CB6">
      <w:pPr>
        <w:spacing w:line="240" w:lineRule="auto"/>
        <w:ind w:right="-547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SQL</w:t>
      </w:r>
    </w:p>
    <w:p w14:paraId="7BFFE75E" w14:textId="77777777" w:rsidR="006B5CB6" w:rsidRPr="001D40C4" w:rsidRDefault="006B5CB6" w:rsidP="00AC582F">
      <w:pPr>
        <w:spacing w:line="240" w:lineRule="auto"/>
        <w:ind w:right="-540" w:hanging="450"/>
        <w:rPr>
          <w:rFonts w:ascii="Calibri" w:hAnsi="Calibri" w:cs="Calibri"/>
          <w:sz w:val="22"/>
          <w:szCs w:val="22"/>
        </w:rPr>
        <w:sectPr w:rsidR="006B5CB6" w:rsidRPr="001D40C4" w:rsidSect="006B5C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3C4631" w14:textId="77777777" w:rsidR="001B7FD0" w:rsidRPr="001D40C4" w:rsidRDefault="001B7FD0" w:rsidP="00AC582F">
      <w:pPr>
        <w:spacing w:line="240" w:lineRule="auto"/>
        <w:ind w:right="-540" w:hanging="450"/>
        <w:rPr>
          <w:rFonts w:ascii="Calibri" w:hAnsi="Calibri" w:cs="Calibri"/>
          <w:sz w:val="22"/>
          <w:szCs w:val="22"/>
        </w:rPr>
      </w:pPr>
    </w:p>
    <w:p w14:paraId="20365CC1" w14:textId="6ECC216A" w:rsidR="001B7FD0" w:rsidRPr="001D40C4" w:rsidRDefault="001B7FD0" w:rsidP="00AC582F">
      <w:pPr>
        <w:spacing w:line="240" w:lineRule="auto"/>
        <w:ind w:left="360" w:right="-540" w:hanging="450"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Professional Experience</w:t>
      </w:r>
    </w:p>
    <w:p w14:paraId="501B7B94" w14:textId="4D6513EA" w:rsidR="001B7FD0" w:rsidRPr="001D40C4" w:rsidRDefault="001B7FD0" w:rsidP="00AC582F">
      <w:pPr>
        <w:spacing w:line="240" w:lineRule="auto"/>
        <w:ind w:left="360" w:right="-540" w:hanging="450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Southern Glazers Wine and Spirits, Farmers Branch, TX</w:t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  <w:t>2013-2025</w:t>
      </w:r>
    </w:p>
    <w:p w14:paraId="2B1B67D4" w14:textId="5DA9C27A" w:rsidR="001B7FD0" w:rsidRPr="001D40C4" w:rsidRDefault="001B7FD0" w:rsidP="00AC582F">
      <w:pPr>
        <w:spacing w:line="240" w:lineRule="auto"/>
        <w:ind w:left="360" w:right="-540" w:hanging="450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Business Intelligence Incentive Analyst</w:t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  <w:t>2023-</w:t>
      </w:r>
      <w:r w:rsidR="00C65064" w:rsidRPr="001D40C4">
        <w:rPr>
          <w:rFonts w:ascii="Calibri" w:hAnsi="Calibri" w:cs="Calibri"/>
          <w:b/>
          <w:bCs/>
          <w:sz w:val="22"/>
          <w:szCs w:val="22"/>
        </w:rPr>
        <w:t>8/2/2025</w:t>
      </w:r>
    </w:p>
    <w:p w14:paraId="537E474A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Collaborated with sales teams to optimize resource allocation while adhering to brand standards, enhancing overall brand management strategies.</w:t>
      </w:r>
    </w:p>
    <w:p w14:paraId="2E81BE6C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Provided analytical support for national sales programs using BI tools, identifying areas for improvement and growth through comprehensive data analysis.</w:t>
      </w:r>
    </w:p>
    <w:p w14:paraId="4272F539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Led a team of four analysts to develop and optimize business intelligence tools, resulting in a 98% increase in data accuracy and a significant improvement in decision-making efficiency.</w:t>
      </w:r>
    </w:p>
    <w:p w14:paraId="4F366A31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Managed the administration of sales incentive compensation and sales incentive programs, including monthly data input, quarterly payout analysis, and performance reporting.</w:t>
      </w:r>
    </w:p>
    <w:p w14:paraId="7594B583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Developed a strategic incentive pay calendar and standardized reporting cadence, streamlining month-end close processes and improving overall program effectiveness.</w:t>
      </w:r>
    </w:p>
    <w:p w14:paraId="65044904" w14:textId="77777777" w:rsidR="004354D2" w:rsidRPr="004354D2" w:rsidRDefault="004354D2" w:rsidP="004354D2">
      <w:pPr>
        <w:numPr>
          <w:ilvl w:val="0"/>
          <w:numId w:val="7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354D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Designed analytics based on supplier and sales recommendations, delivering actionable insights to enhance program performance and decision-making support.</w:t>
      </w:r>
    </w:p>
    <w:p w14:paraId="62505831" w14:textId="77777777" w:rsidR="00C65064" w:rsidRPr="001D40C4" w:rsidRDefault="00C65064" w:rsidP="005240B7">
      <w:pPr>
        <w:spacing w:line="240" w:lineRule="auto"/>
        <w:ind w:left="360" w:right="-540" w:hanging="446"/>
        <w:rPr>
          <w:rFonts w:ascii="Calibri" w:hAnsi="Calibri" w:cs="Calibri"/>
          <w:b/>
          <w:bCs/>
          <w:sz w:val="22"/>
          <w:szCs w:val="22"/>
        </w:rPr>
      </w:pPr>
    </w:p>
    <w:p w14:paraId="7C88B91D" w14:textId="77777777" w:rsidR="004354D2" w:rsidRPr="001D40C4" w:rsidRDefault="004354D2" w:rsidP="005240B7">
      <w:pPr>
        <w:spacing w:line="240" w:lineRule="auto"/>
        <w:ind w:left="360" w:right="-540" w:hanging="446"/>
        <w:rPr>
          <w:rFonts w:ascii="Calibri" w:hAnsi="Calibri" w:cs="Calibri"/>
          <w:b/>
          <w:bCs/>
          <w:sz w:val="22"/>
          <w:szCs w:val="22"/>
        </w:rPr>
      </w:pPr>
    </w:p>
    <w:p w14:paraId="19AE1E47" w14:textId="685B93D5" w:rsidR="004354D2" w:rsidRPr="001D40C4" w:rsidRDefault="001B7FD0" w:rsidP="005240B7">
      <w:pPr>
        <w:spacing w:line="240" w:lineRule="auto"/>
        <w:ind w:left="360" w:right="-540" w:hanging="446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lastRenderedPageBreak/>
        <w:t>Trade Development Manager</w:t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>
        <w:rPr>
          <w:rFonts w:ascii="Calibri" w:hAnsi="Calibri" w:cs="Calibri"/>
          <w:b/>
          <w:bCs/>
          <w:sz w:val="22"/>
          <w:szCs w:val="22"/>
        </w:rPr>
        <w:tab/>
      </w:r>
      <w:r w:rsidR="000B31BB" w:rsidRPr="001D40C4">
        <w:rPr>
          <w:rFonts w:ascii="Calibri" w:hAnsi="Calibri" w:cs="Calibri"/>
          <w:b/>
          <w:bCs/>
          <w:sz w:val="22"/>
          <w:szCs w:val="22"/>
        </w:rPr>
        <w:t>2018-2023</w:t>
      </w:r>
    </w:p>
    <w:p w14:paraId="3C850277" w14:textId="77777777" w:rsidR="00850275" w:rsidRPr="009846FF" w:rsidRDefault="00850275" w:rsidP="00850275">
      <w:pPr>
        <w:numPr>
          <w:ilvl w:val="0"/>
          <w:numId w:val="8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Own the setup, creation, and execution of strategic planning, budgeting, and intra-year forecasting processes.</w:t>
      </w:r>
    </w:p>
    <w:p w14:paraId="55BC649C" w14:textId="77777777" w:rsidR="00850275" w:rsidRDefault="00850275" w:rsidP="00850275">
      <w:pPr>
        <w:numPr>
          <w:ilvl w:val="0"/>
          <w:numId w:val="8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Develop and maintain processes and tools to enable accurate, timely financial forecasts and operational plans.</w:t>
      </w:r>
    </w:p>
    <w:p w14:paraId="7BC75A79" w14:textId="5314CCAB" w:rsidR="0064234D" w:rsidRPr="009846FF" w:rsidRDefault="0064234D" w:rsidP="00850275">
      <w:pPr>
        <w:numPr>
          <w:ilvl w:val="0"/>
          <w:numId w:val="8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Implemented price benchmarking and competitive analysis using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EXCEL and SAP</w:t>
      </w: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informing pricing actions that improved margin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 and</w:t>
      </w: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increased revenue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6CA0DF" w14:textId="77777777" w:rsidR="00850275" w:rsidRDefault="00850275" w:rsidP="00850275">
      <w:pPr>
        <w:numPr>
          <w:ilvl w:val="0"/>
          <w:numId w:val="8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Prepare budget justifications and reviews for Leadership Team, facilitating informed decision-making on resource allocation.</w:t>
      </w:r>
    </w:p>
    <w:p w14:paraId="40D33A6E" w14:textId="424F489F" w:rsidR="00850275" w:rsidRDefault="00850275" w:rsidP="00850275">
      <w:pPr>
        <w:numPr>
          <w:ilvl w:val="0"/>
          <w:numId w:val="8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Conduct proactive ad-hoc financial analysis by determining key information needs, sourcing data, and presenting insights to executives.</w:t>
      </w:r>
      <w:r w:rsid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3B8BEF99" w14:textId="2B467326" w:rsidR="0064234D" w:rsidRDefault="0064234D" w:rsidP="00850275">
      <w:pPr>
        <w:numPr>
          <w:ilvl w:val="0"/>
          <w:numId w:val="8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Collaborated with Regional Pricing Manager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s, Field Sales,</w:t>
      </w: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and key accounts to resolve pricing disputes, improving customer retention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regaining lost</w:t>
      </w:r>
      <w:r w:rsidRPr="0064234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sales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4EA98A" w14:textId="77777777" w:rsidR="000B31BB" w:rsidRDefault="001B7FD0" w:rsidP="000B31BB">
      <w:pPr>
        <w:spacing w:line="240" w:lineRule="auto"/>
        <w:ind w:left="360" w:right="-540" w:hanging="446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="00995ECA" w:rsidRPr="001D40C4">
        <w:rPr>
          <w:rFonts w:ascii="Calibri" w:hAnsi="Calibri" w:cs="Calibri"/>
          <w:b/>
          <w:bCs/>
          <w:sz w:val="22"/>
          <w:szCs w:val="22"/>
        </w:rPr>
        <w:tab/>
      </w:r>
    </w:p>
    <w:p w14:paraId="05931071" w14:textId="3C7B67EC" w:rsidR="001B7FD0" w:rsidRPr="001D40C4" w:rsidRDefault="001B7FD0" w:rsidP="000B31BB">
      <w:pPr>
        <w:spacing w:line="240" w:lineRule="auto"/>
        <w:ind w:left="360" w:right="-540" w:hanging="446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 xml:space="preserve">Business Marketing Analyst </w:t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ab/>
      </w:r>
      <w:r w:rsidR="00F34C33" w:rsidRPr="001D40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34C33" w:rsidRPr="001D40C4">
        <w:rPr>
          <w:rFonts w:ascii="Calibri" w:hAnsi="Calibri" w:cs="Calibri"/>
          <w:b/>
          <w:bCs/>
          <w:sz w:val="22"/>
          <w:szCs w:val="22"/>
        </w:rPr>
        <w:tab/>
      </w:r>
      <w:r w:rsidRPr="001D40C4">
        <w:rPr>
          <w:rFonts w:ascii="Calibri" w:hAnsi="Calibri" w:cs="Calibri"/>
          <w:b/>
          <w:bCs/>
          <w:sz w:val="22"/>
          <w:szCs w:val="22"/>
        </w:rPr>
        <w:t>2013-2018</w:t>
      </w:r>
    </w:p>
    <w:p w14:paraId="204CA89D" w14:textId="3D6E8BEC" w:rsidR="00850275" w:rsidRPr="009846FF" w:rsidRDefault="00850275" w:rsidP="00850275">
      <w:pPr>
        <w:numPr>
          <w:ilvl w:val="0"/>
          <w:numId w:val="1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Produce comprehensive reports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including Board Packets, Business Reviews, and operational dashboards to monitor performance against strategic goals.</w:t>
      </w:r>
    </w:p>
    <w:p w14:paraId="37ED649B" w14:textId="77777777" w:rsidR="00850275" w:rsidRPr="009846FF" w:rsidRDefault="00850275" w:rsidP="00850275">
      <w:pPr>
        <w:numPr>
          <w:ilvl w:val="0"/>
          <w:numId w:val="1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Compile and analyze monthly departmental financial reports, explaining variances and refining forecasting accuracy through stakeholder feedback.</w:t>
      </w:r>
    </w:p>
    <w:p w14:paraId="1D9FDE31" w14:textId="77777777" w:rsidR="00850275" w:rsidRDefault="00850275" w:rsidP="00850275">
      <w:pPr>
        <w:numPr>
          <w:ilvl w:val="0"/>
          <w:numId w:val="1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Leverage SQL and other analytical tools to work with structured and unstructured data sources, generating insights to support strategic initiatives and operational efficiency.</w:t>
      </w:r>
    </w:p>
    <w:p w14:paraId="0BF65AA9" w14:textId="77777777" w:rsidR="00850275" w:rsidRPr="009846FF" w:rsidRDefault="00850275" w:rsidP="00850275">
      <w:pPr>
        <w:numPr>
          <w:ilvl w:val="0"/>
          <w:numId w:val="1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846F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Analyze P&amp;L variances monthly, providing detailed reports and actionable recommendations to improve financial performance.</w:t>
      </w:r>
    </w:p>
    <w:p w14:paraId="656D85D7" w14:textId="77777777" w:rsidR="0008250E" w:rsidRPr="0008250E" w:rsidRDefault="0008250E" w:rsidP="0008250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2"/>
          <w:szCs w:val="22"/>
          <w14:ligatures w14:val="none"/>
        </w:rPr>
      </w:pPr>
      <w:r w:rsidRPr="0008250E">
        <w:rPr>
          <w:rFonts w:ascii="Calibri" w:eastAsia="Times New Roman" w:hAnsi="Calibri" w:cs="Calibri"/>
          <w:vanish/>
          <w:kern w:val="0"/>
          <w:sz w:val="22"/>
          <w:szCs w:val="22"/>
          <w14:ligatures w14:val="none"/>
        </w:rPr>
        <w:t>Top of Form</w:t>
      </w:r>
    </w:p>
    <w:p w14:paraId="17A4BB07" w14:textId="77777777" w:rsidR="00D83271" w:rsidRPr="001D40C4" w:rsidRDefault="00D83271" w:rsidP="00C65064">
      <w:pPr>
        <w:pStyle w:val="ListParagraph"/>
        <w:ind w:left="1350" w:right="-540" w:hanging="990"/>
        <w:rPr>
          <w:rFonts w:ascii="Calibri" w:hAnsi="Calibri" w:cs="Calibri"/>
          <w:sz w:val="22"/>
          <w:szCs w:val="22"/>
        </w:rPr>
      </w:pPr>
    </w:p>
    <w:p w14:paraId="0554FEAD" w14:textId="77777777" w:rsidR="00E80B00" w:rsidRPr="001D40C4" w:rsidRDefault="00E80B00" w:rsidP="00AC582F">
      <w:pPr>
        <w:spacing w:line="240" w:lineRule="auto"/>
        <w:ind w:left="360" w:right="-540" w:hanging="45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96699F" w14:textId="3A40EC97" w:rsidR="00F7621B" w:rsidRPr="001D40C4" w:rsidRDefault="00F7621B" w:rsidP="00850275">
      <w:pPr>
        <w:spacing w:line="240" w:lineRule="auto"/>
        <w:ind w:left="360" w:right="-540"/>
        <w:jc w:val="center"/>
        <w:rPr>
          <w:rFonts w:ascii="Calibri" w:hAnsi="Calibri" w:cs="Calibri"/>
          <w:b/>
          <w:bCs/>
          <w:sz w:val="22"/>
          <w:szCs w:val="22"/>
        </w:rPr>
      </w:pPr>
      <w:r w:rsidRPr="001D40C4">
        <w:rPr>
          <w:rFonts w:ascii="Calibri" w:hAnsi="Calibri" w:cs="Calibri"/>
          <w:b/>
          <w:bCs/>
          <w:sz w:val="22"/>
          <w:szCs w:val="22"/>
        </w:rPr>
        <w:t>Education</w:t>
      </w:r>
    </w:p>
    <w:p w14:paraId="48CD8AC7" w14:textId="77777777" w:rsidR="008C2975" w:rsidRPr="001D40C4" w:rsidRDefault="00F7621B" w:rsidP="00850275">
      <w:pPr>
        <w:spacing w:line="240" w:lineRule="auto"/>
        <w:ind w:right="-540" w:firstLine="720"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 xml:space="preserve">Master of </w:t>
      </w:r>
      <w:r w:rsidR="00233016" w:rsidRPr="001D40C4">
        <w:rPr>
          <w:rFonts w:ascii="Calibri" w:hAnsi="Calibri" w:cs="Calibri"/>
          <w:sz w:val="22"/>
          <w:szCs w:val="22"/>
        </w:rPr>
        <w:t xml:space="preserve">Arts </w:t>
      </w:r>
      <w:r w:rsidRPr="001D40C4">
        <w:rPr>
          <w:rFonts w:ascii="Calibri" w:hAnsi="Calibri" w:cs="Calibri"/>
          <w:sz w:val="22"/>
          <w:szCs w:val="22"/>
        </w:rPr>
        <w:t>Executive Leadership, Liberty University, Lynchburg, VA</w:t>
      </w:r>
    </w:p>
    <w:p w14:paraId="5E7960AC" w14:textId="439A70F7" w:rsidR="00233016" w:rsidRPr="001D40C4" w:rsidRDefault="00233016" w:rsidP="00850275">
      <w:pPr>
        <w:spacing w:line="240" w:lineRule="auto"/>
        <w:ind w:right="-540" w:firstLine="720"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Master of Arts Theological Studies, Liberty University, Lynchburg, VA</w:t>
      </w:r>
    </w:p>
    <w:p w14:paraId="0CD78204" w14:textId="1C40D0C4" w:rsidR="00233016" w:rsidRPr="001D40C4" w:rsidRDefault="00233016" w:rsidP="00850275">
      <w:pPr>
        <w:spacing w:line="240" w:lineRule="auto"/>
        <w:ind w:right="-540" w:firstLine="720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Bachelor of Arts General Studies, Texas Woman's University, Denton, TX.</w:t>
      </w:r>
    </w:p>
    <w:p w14:paraId="57A9A4CB" w14:textId="079E9084" w:rsidR="00233016" w:rsidRPr="001D40C4" w:rsidRDefault="00233016" w:rsidP="00850275">
      <w:pPr>
        <w:spacing w:line="240" w:lineRule="auto"/>
        <w:ind w:right="-540" w:firstLine="720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ab/>
        <w:t>Majoring in Business and Sociology</w:t>
      </w:r>
    </w:p>
    <w:p w14:paraId="633A6951" w14:textId="77777777" w:rsidR="00233016" w:rsidRPr="001D40C4" w:rsidRDefault="00233016" w:rsidP="00850275">
      <w:pPr>
        <w:spacing w:line="240" w:lineRule="auto"/>
        <w:ind w:right="-540" w:firstLine="720"/>
        <w:contextualSpacing/>
        <w:rPr>
          <w:rFonts w:ascii="Calibri" w:hAnsi="Calibri" w:cs="Calibri"/>
          <w:sz w:val="22"/>
          <w:szCs w:val="22"/>
        </w:rPr>
      </w:pPr>
    </w:p>
    <w:p w14:paraId="0839FAF5" w14:textId="3CF87944" w:rsidR="00233016" w:rsidRPr="001D40C4" w:rsidRDefault="00233016" w:rsidP="00850275">
      <w:pPr>
        <w:spacing w:line="240" w:lineRule="auto"/>
        <w:ind w:right="-540" w:firstLine="720"/>
        <w:contextualSpacing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>Six Sigma Lean Champion</w:t>
      </w:r>
    </w:p>
    <w:p w14:paraId="2137341E" w14:textId="77777777" w:rsidR="001B7FD0" w:rsidRPr="001D40C4" w:rsidRDefault="001B7FD0" w:rsidP="00AC582F">
      <w:pPr>
        <w:spacing w:line="240" w:lineRule="auto"/>
        <w:ind w:right="-540" w:hanging="450"/>
        <w:rPr>
          <w:rFonts w:ascii="Calibri" w:hAnsi="Calibri" w:cs="Calibri"/>
          <w:sz w:val="22"/>
          <w:szCs w:val="22"/>
        </w:rPr>
      </w:pPr>
    </w:p>
    <w:p w14:paraId="7A73650C" w14:textId="77777777" w:rsidR="00BA7309" w:rsidRPr="001D40C4" w:rsidRDefault="00BA7309" w:rsidP="00AC582F">
      <w:pPr>
        <w:spacing w:line="240" w:lineRule="auto"/>
        <w:ind w:right="-540" w:hanging="45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82E86B" w14:textId="6D5684E7" w:rsidR="00BA7309" w:rsidRPr="001D40C4" w:rsidRDefault="00BA7309" w:rsidP="00AC582F">
      <w:pPr>
        <w:ind w:right="-540" w:hanging="450"/>
        <w:jc w:val="center"/>
        <w:rPr>
          <w:rFonts w:ascii="Calibri" w:hAnsi="Calibri" w:cs="Calibri"/>
          <w:sz w:val="22"/>
          <w:szCs w:val="22"/>
        </w:rPr>
      </w:pPr>
      <w:r w:rsidRPr="001D40C4">
        <w:rPr>
          <w:rFonts w:ascii="Calibri" w:hAnsi="Calibri" w:cs="Calibri"/>
          <w:sz w:val="22"/>
          <w:szCs w:val="22"/>
        </w:rPr>
        <w:t xml:space="preserve"> </w:t>
      </w:r>
    </w:p>
    <w:sectPr w:rsidR="00BA7309" w:rsidRPr="001D40C4" w:rsidSect="006B5C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54D"/>
    <w:multiLevelType w:val="multilevel"/>
    <w:tmpl w:val="0D0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B7D70"/>
    <w:multiLevelType w:val="hybridMultilevel"/>
    <w:tmpl w:val="F950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F0F"/>
    <w:multiLevelType w:val="hybridMultilevel"/>
    <w:tmpl w:val="A4FC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AC2"/>
    <w:multiLevelType w:val="multilevel"/>
    <w:tmpl w:val="21DE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C6D3B"/>
    <w:multiLevelType w:val="multilevel"/>
    <w:tmpl w:val="734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208BD"/>
    <w:multiLevelType w:val="hybridMultilevel"/>
    <w:tmpl w:val="23DE4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F7292"/>
    <w:multiLevelType w:val="multilevel"/>
    <w:tmpl w:val="52C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E207E"/>
    <w:multiLevelType w:val="hybridMultilevel"/>
    <w:tmpl w:val="5616D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A2F78"/>
    <w:multiLevelType w:val="multilevel"/>
    <w:tmpl w:val="9FD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61E34"/>
    <w:multiLevelType w:val="multilevel"/>
    <w:tmpl w:val="DBEA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363C7"/>
    <w:multiLevelType w:val="multilevel"/>
    <w:tmpl w:val="2A0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256AE"/>
    <w:multiLevelType w:val="multilevel"/>
    <w:tmpl w:val="29BE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B1513"/>
    <w:multiLevelType w:val="hybridMultilevel"/>
    <w:tmpl w:val="77F8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46DFB"/>
    <w:multiLevelType w:val="hybridMultilevel"/>
    <w:tmpl w:val="6734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4826">
    <w:abstractNumId w:val="1"/>
  </w:num>
  <w:num w:numId="2" w16cid:durableId="1482892428">
    <w:abstractNumId w:val="7"/>
  </w:num>
  <w:num w:numId="3" w16cid:durableId="1414471401">
    <w:abstractNumId w:val="13"/>
  </w:num>
  <w:num w:numId="4" w16cid:durableId="1122378410">
    <w:abstractNumId w:val="2"/>
  </w:num>
  <w:num w:numId="5" w16cid:durableId="1171679258">
    <w:abstractNumId w:val="12"/>
  </w:num>
  <w:num w:numId="6" w16cid:durableId="1594511969">
    <w:abstractNumId w:val="5"/>
  </w:num>
  <w:num w:numId="7" w16cid:durableId="1628047392">
    <w:abstractNumId w:val="0"/>
  </w:num>
  <w:num w:numId="8" w16cid:durableId="510265467">
    <w:abstractNumId w:val="10"/>
  </w:num>
  <w:num w:numId="9" w16cid:durableId="1919435887">
    <w:abstractNumId w:val="11"/>
  </w:num>
  <w:num w:numId="10" w16cid:durableId="525680879">
    <w:abstractNumId w:val="4"/>
  </w:num>
  <w:num w:numId="11" w16cid:durableId="935750091">
    <w:abstractNumId w:val="8"/>
  </w:num>
  <w:num w:numId="12" w16cid:durableId="1306399285">
    <w:abstractNumId w:val="9"/>
  </w:num>
  <w:num w:numId="13" w16cid:durableId="1662928794">
    <w:abstractNumId w:val="3"/>
  </w:num>
  <w:num w:numId="14" w16cid:durableId="3034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QwNDCyMDS1NDIxMjFV0lEKTi0uzszPAykwtKwFAHax5nwtAAAA"/>
  </w:docVars>
  <w:rsids>
    <w:rsidRoot w:val="00BA7309"/>
    <w:rsid w:val="000425EF"/>
    <w:rsid w:val="0008250E"/>
    <w:rsid w:val="0009240F"/>
    <w:rsid w:val="000B31BB"/>
    <w:rsid w:val="000E5539"/>
    <w:rsid w:val="000F1353"/>
    <w:rsid w:val="000F2C31"/>
    <w:rsid w:val="0015376D"/>
    <w:rsid w:val="001B7FD0"/>
    <w:rsid w:val="001D40C4"/>
    <w:rsid w:val="001D43F5"/>
    <w:rsid w:val="001E6638"/>
    <w:rsid w:val="002210AF"/>
    <w:rsid w:val="00233016"/>
    <w:rsid w:val="00246E11"/>
    <w:rsid w:val="00261749"/>
    <w:rsid w:val="00291768"/>
    <w:rsid w:val="002920B1"/>
    <w:rsid w:val="002A2249"/>
    <w:rsid w:val="002E5465"/>
    <w:rsid w:val="00335BFF"/>
    <w:rsid w:val="00363868"/>
    <w:rsid w:val="00370C94"/>
    <w:rsid w:val="00386A1D"/>
    <w:rsid w:val="00387843"/>
    <w:rsid w:val="0039061A"/>
    <w:rsid w:val="003B20E3"/>
    <w:rsid w:val="003D15A5"/>
    <w:rsid w:val="003D2CCB"/>
    <w:rsid w:val="003F75FA"/>
    <w:rsid w:val="00423027"/>
    <w:rsid w:val="00432373"/>
    <w:rsid w:val="004354D2"/>
    <w:rsid w:val="004873A1"/>
    <w:rsid w:val="00491272"/>
    <w:rsid w:val="004C470D"/>
    <w:rsid w:val="004C5C63"/>
    <w:rsid w:val="00524077"/>
    <w:rsid w:val="005240B7"/>
    <w:rsid w:val="005325E0"/>
    <w:rsid w:val="00580D4C"/>
    <w:rsid w:val="0058691F"/>
    <w:rsid w:val="00597C7C"/>
    <w:rsid w:val="005D17A7"/>
    <w:rsid w:val="005E2EA7"/>
    <w:rsid w:val="0064234D"/>
    <w:rsid w:val="00653752"/>
    <w:rsid w:val="006622B4"/>
    <w:rsid w:val="0068279D"/>
    <w:rsid w:val="00690125"/>
    <w:rsid w:val="00690F2A"/>
    <w:rsid w:val="006A1498"/>
    <w:rsid w:val="006B3B6B"/>
    <w:rsid w:val="006B5CB6"/>
    <w:rsid w:val="006B63DC"/>
    <w:rsid w:val="006B69C9"/>
    <w:rsid w:val="00710299"/>
    <w:rsid w:val="007436DC"/>
    <w:rsid w:val="007A42DD"/>
    <w:rsid w:val="00800E82"/>
    <w:rsid w:val="008238E3"/>
    <w:rsid w:val="00850275"/>
    <w:rsid w:val="00860957"/>
    <w:rsid w:val="008668E0"/>
    <w:rsid w:val="008B057D"/>
    <w:rsid w:val="008C2975"/>
    <w:rsid w:val="008D644D"/>
    <w:rsid w:val="00907A3A"/>
    <w:rsid w:val="00962E7D"/>
    <w:rsid w:val="009818BF"/>
    <w:rsid w:val="009841AC"/>
    <w:rsid w:val="00995ECA"/>
    <w:rsid w:val="009B49E2"/>
    <w:rsid w:val="009F0157"/>
    <w:rsid w:val="009F0753"/>
    <w:rsid w:val="00A003E9"/>
    <w:rsid w:val="00A145B9"/>
    <w:rsid w:val="00A36B15"/>
    <w:rsid w:val="00A81E63"/>
    <w:rsid w:val="00AC582F"/>
    <w:rsid w:val="00B47689"/>
    <w:rsid w:val="00B62E0A"/>
    <w:rsid w:val="00B719D7"/>
    <w:rsid w:val="00BA7309"/>
    <w:rsid w:val="00BA77A8"/>
    <w:rsid w:val="00BB0308"/>
    <w:rsid w:val="00BD6054"/>
    <w:rsid w:val="00C629F8"/>
    <w:rsid w:val="00C65064"/>
    <w:rsid w:val="00C71BD0"/>
    <w:rsid w:val="00C86A9B"/>
    <w:rsid w:val="00CA03AE"/>
    <w:rsid w:val="00CD6E12"/>
    <w:rsid w:val="00D20251"/>
    <w:rsid w:val="00D24F4C"/>
    <w:rsid w:val="00D27D88"/>
    <w:rsid w:val="00D314AF"/>
    <w:rsid w:val="00D31BE0"/>
    <w:rsid w:val="00D43581"/>
    <w:rsid w:val="00D765CE"/>
    <w:rsid w:val="00D83271"/>
    <w:rsid w:val="00DA32F8"/>
    <w:rsid w:val="00DB19CB"/>
    <w:rsid w:val="00DB656E"/>
    <w:rsid w:val="00DC0D83"/>
    <w:rsid w:val="00DD3D53"/>
    <w:rsid w:val="00DE1CBF"/>
    <w:rsid w:val="00E67668"/>
    <w:rsid w:val="00E80B00"/>
    <w:rsid w:val="00E92B0E"/>
    <w:rsid w:val="00EC3C01"/>
    <w:rsid w:val="00ED1BC9"/>
    <w:rsid w:val="00ED4CD9"/>
    <w:rsid w:val="00EE4EB4"/>
    <w:rsid w:val="00F06FA2"/>
    <w:rsid w:val="00F34C33"/>
    <w:rsid w:val="00F35CEE"/>
    <w:rsid w:val="00F437EB"/>
    <w:rsid w:val="00F45A0B"/>
    <w:rsid w:val="00F65743"/>
    <w:rsid w:val="00F7621B"/>
    <w:rsid w:val="00F96980"/>
    <w:rsid w:val="00FC2D2C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DE73E"/>
  <w15:chartTrackingRefBased/>
  <w15:docId w15:val="{0BF0053F-C720-4B5E-85E5-C44D43F5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3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309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B719D7"/>
  </w:style>
  <w:style w:type="character" w:styleId="Strong">
    <w:name w:val="Strong"/>
    <w:basedOn w:val="DefaultParagraphFont"/>
    <w:uiPriority w:val="22"/>
    <w:qFormat/>
    <w:rsid w:val="00B719D7"/>
    <w:rPr>
      <w:b/>
      <w:bCs/>
    </w:rPr>
  </w:style>
  <w:style w:type="character" w:customStyle="1" w:styleId="tooltip-moduletooltiptitlex5dii">
    <w:name w:val="tooltip-module__tooltip__title___x5dii"/>
    <w:basedOn w:val="DefaultParagraphFont"/>
    <w:rsid w:val="0008250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2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250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son-holly-8863718" TargetMode="External"/><Relationship Id="rId5" Type="http://schemas.openxmlformats.org/officeDocument/2006/relationships/hyperlink" Target="https://www.linkedin.com/in/jason-holly-88637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3433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Holly</dc:creator>
  <cp:keywords/>
  <dc:description/>
  <cp:lastModifiedBy>Jason Holly</cp:lastModifiedBy>
  <cp:revision>2</cp:revision>
  <cp:lastPrinted>2025-09-24T18:13:00Z</cp:lastPrinted>
  <dcterms:created xsi:type="dcterms:W3CDTF">2025-10-20T12:12:00Z</dcterms:created>
  <dcterms:modified xsi:type="dcterms:W3CDTF">2025-10-20T12:12:00Z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514e25b3-68fc-4ee6-971f-a3d130866c05</vt:lpwstr>
  </property>
</Properties>
</file>